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b/>
          <w:sz w:val="32"/>
          <w:szCs w:val="32"/>
          <w:lang w:eastAsia="zh-CN"/>
        </w:rPr>
        <w:t>人力资源管理</w:t>
      </w:r>
      <w:r>
        <w:rPr>
          <w:rFonts w:hint="eastAsia" w:ascii="宋体" w:hAnsi="宋体"/>
          <w:b/>
          <w:sz w:val="32"/>
          <w:szCs w:val="32"/>
          <w:lang w:eastAsia="zh-CN"/>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569"/>
        <w:gridCol w:w="1033"/>
        <w:gridCol w:w="101"/>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课程名称：人力资源管理</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b/>
                <w:sz w:val="21"/>
                <w:szCs w:val="21"/>
                <w:lang w:eastAsia="zh-CN"/>
              </w:rPr>
              <w:t>Human Resource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总学时/周学时/学分：54/3/3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管理学、组织行为学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sz w:val="21"/>
                <w:szCs w:val="21"/>
                <w:lang w:eastAsia="zh-CN"/>
              </w:rPr>
              <w:t>周一、周三上午</w:t>
            </w:r>
            <w:r>
              <w:rPr>
                <w:rFonts w:hint="eastAsia" w:ascii="宋体" w:hAnsi="宋体" w:eastAsia="宋体"/>
                <w:b/>
                <w:sz w:val="21"/>
                <w:szCs w:val="21"/>
                <w:lang w:val="en-US" w:eastAsia="zh-CN"/>
              </w:rPr>
              <w:t>1－4节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授课地点：莞城校区6308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授课对象：工商管理专业2016级1－4班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任课教师姓名/职称：帅建华/教授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eastAsia="zh-CN"/>
              </w:rPr>
              <w:t>13929261643</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eastAsia="zh-CN"/>
              </w:rPr>
              <w:t>1289009353@qq.com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答疑时间、地点与方式：</w:t>
            </w:r>
          </w:p>
          <w:p>
            <w:pPr>
              <w:tabs>
                <w:tab w:val="left" w:pos="1440"/>
              </w:tabs>
              <w:spacing w:line="360" w:lineRule="exact"/>
              <w:outlineLvl w:val="0"/>
              <w:rPr>
                <w:rFonts w:ascii="宋体" w:hAnsi="宋体"/>
                <w:szCs w:val="21"/>
                <w:lang w:eastAsia="zh-CN"/>
              </w:rPr>
            </w:pPr>
            <w:r>
              <w:rPr>
                <w:rFonts w:ascii="宋体" w:hAnsi="宋体"/>
                <w:szCs w:val="21"/>
                <w:lang w:eastAsia="zh-CN"/>
              </w:rPr>
              <w:t>1.</w:t>
            </w:r>
            <w:r>
              <w:rPr>
                <w:rFonts w:hint="eastAsia" w:ascii="宋体" w:hAnsi="宋体" w:eastAsia="宋体"/>
                <w:szCs w:val="21"/>
                <w:lang w:eastAsia="zh-CN"/>
              </w:rPr>
              <w:t>教室</w:t>
            </w:r>
            <w:r>
              <w:rPr>
                <w:rFonts w:hint="eastAsia" w:ascii="宋体" w:hAnsi="宋体"/>
                <w:szCs w:val="21"/>
                <w:lang w:eastAsia="zh-CN"/>
              </w:rPr>
              <w:t>答疑。周一、周三晚上</w:t>
            </w:r>
            <w:r>
              <w:rPr>
                <w:rFonts w:hint="eastAsia" w:ascii="宋体" w:hAnsi="宋体" w:eastAsia="宋体"/>
                <w:szCs w:val="21"/>
                <w:lang w:eastAsia="zh-CN"/>
              </w:rPr>
              <w:t>8</w:t>
            </w:r>
            <w:r>
              <w:rPr>
                <w:rFonts w:hint="eastAsia" w:ascii="宋体" w:hAnsi="宋体"/>
                <w:szCs w:val="21"/>
                <w:lang w:eastAsia="zh-CN"/>
              </w:rPr>
              <w:t>：</w:t>
            </w:r>
            <w:r>
              <w:rPr>
                <w:rFonts w:hint="eastAsia" w:ascii="宋体" w:hAnsi="宋体" w:eastAsia="宋体"/>
                <w:szCs w:val="21"/>
                <w:lang w:eastAsia="zh-CN"/>
              </w:rPr>
              <w:t>0</w:t>
            </w:r>
            <w:r>
              <w:rPr>
                <w:rFonts w:hint="eastAsia" w:ascii="宋体" w:hAnsi="宋体"/>
                <w:szCs w:val="21"/>
                <w:lang w:eastAsia="zh-CN"/>
              </w:rPr>
              <w:t>0-10：00，莞城校区</w:t>
            </w:r>
            <w:r>
              <w:rPr>
                <w:rFonts w:hint="eastAsia" w:ascii="宋体" w:hAnsi="宋体" w:eastAsia="宋体"/>
                <w:szCs w:val="21"/>
                <w:lang w:eastAsia="zh-CN"/>
              </w:rPr>
              <w:t>4418</w:t>
            </w:r>
            <w:r>
              <w:rPr>
                <w:rFonts w:hint="eastAsia" w:ascii="宋体" w:hAnsi="宋体"/>
                <w:szCs w:val="21"/>
                <w:lang w:eastAsia="zh-CN"/>
              </w:rPr>
              <w:t>。</w:t>
            </w:r>
          </w:p>
          <w:p>
            <w:pPr>
              <w:tabs>
                <w:tab w:val="left" w:pos="1440"/>
              </w:tabs>
              <w:spacing w:line="360" w:lineRule="exact"/>
              <w:outlineLvl w:val="0"/>
              <w:rPr>
                <w:rFonts w:ascii="宋体" w:hAnsi="宋体"/>
                <w:szCs w:val="21"/>
                <w:lang w:eastAsia="zh-CN"/>
              </w:rPr>
            </w:pPr>
            <w:r>
              <w:rPr>
                <w:rFonts w:hint="eastAsia" w:ascii="宋体" w:hAnsi="宋体"/>
                <w:szCs w:val="21"/>
                <w:lang w:eastAsia="zh-CN"/>
              </w:rPr>
              <w:t>2.电话预约。如有比较重要、复杂的问题，学生可进行电话预约。</w:t>
            </w:r>
          </w:p>
          <w:p>
            <w:pPr>
              <w:tabs>
                <w:tab w:val="left" w:pos="1440"/>
              </w:tabs>
              <w:spacing w:after="0" w:line="0" w:lineRule="atLeast"/>
              <w:outlineLvl w:val="0"/>
              <w:rPr>
                <w:rFonts w:ascii="宋体" w:hAnsi="宋体" w:eastAsia="宋体"/>
                <w:sz w:val="21"/>
                <w:szCs w:val="21"/>
                <w:lang w:eastAsia="zh-CN"/>
              </w:rPr>
            </w:pPr>
            <w:r>
              <w:rPr>
                <w:rFonts w:hint="eastAsia" w:ascii="宋体" w:hAnsi="宋体"/>
                <w:szCs w:val="21"/>
              </w:rPr>
              <w:t>3.网络、微信</w:t>
            </w:r>
            <w:r>
              <w:rPr>
                <w:rFonts w:hint="eastAsia" w:ascii="宋体" w:hAnsi="宋体" w:eastAsia="宋体"/>
                <w:szCs w:val="21"/>
                <w:lang w:eastAsia="zh-CN"/>
              </w:rPr>
              <w:t>随时</w:t>
            </w:r>
            <w:r>
              <w:rPr>
                <w:rFonts w:hint="eastAsia" w:ascii="宋体" w:hAnsi="宋体"/>
                <w:szCs w:val="21"/>
              </w:rPr>
              <w:t>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Autospacing="0" w:afterAutospacing="0"/>
              <w:rPr>
                <w:rFonts w:hint="default"/>
                <w:sz w:val="21"/>
                <w:szCs w:val="21"/>
              </w:rPr>
            </w:pPr>
            <w:r>
              <w:rPr>
                <w:bCs/>
                <w:sz w:val="21"/>
                <w:szCs w:val="21"/>
              </w:rPr>
              <w:t>课程考核方式：</w:t>
            </w:r>
            <w:r>
              <w:rPr>
                <w:sz w:val="21"/>
                <w:szCs w:val="21"/>
              </w:rPr>
              <w:t xml:space="preserve">开卷（   ）     闭卷（ </w:t>
            </w:r>
            <w:r>
              <w:rPr>
                <w:rFonts w:asciiTheme="minorEastAsia" w:hAnsiTheme="minorEastAsia" w:eastAsiaTheme="minorEastAsia" w:cstheme="minorEastAsia"/>
                <w:color w:val="333333"/>
                <w:sz w:val="21"/>
                <w:szCs w:val="21"/>
                <w:shd w:val="clear" w:color="auto" w:fill="FFFFFF"/>
              </w:rPr>
              <w:t>√</w:t>
            </w:r>
            <w:r>
              <w:rPr>
                <w:sz w:val="21"/>
                <w:szCs w:val="21"/>
              </w:rPr>
              <w:t xml:space="preserve"> ）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使用教材：《人力资源管理》，黄维德、董临萍编著，高等教育出版社，2017年版。</w:t>
            </w:r>
          </w:p>
          <w:p>
            <w:pPr>
              <w:ind w:firstLine="422" w:firstLineChars="20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ind w:firstLine="480" w:firstLineChars="200"/>
              <w:rPr>
                <w:lang w:eastAsia="zh-CN"/>
              </w:rPr>
            </w:pPr>
            <w:r>
              <w:rPr>
                <w:rFonts w:hint="eastAsia"/>
                <w:lang w:eastAsia="zh-CN"/>
              </w:rPr>
              <w:t>（1）《人力资源管理研究》，赵曙明、张正堂、程德俊，高等教育出版社，2009年版；</w:t>
            </w:r>
          </w:p>
          <w:p>
            <w:pPr>
              <w:ind w:firstLine="480" w:firstLineChars="200"/>
              <w:rPr>
                <w:lang w:eastAsia="zh-CN"/>
              </w:rPr>
            </w:pPr>
            <w:r>
              <w:rPr>
                <w:rFonts w:hint="eastAsia"/>
                <w:lang w:eastAsia="zh-CN"/>
              </w:rPr>
              <w:t>（2）《人力资源管理》，（美）加里·德斯勒著，中国人民大学出版社，</w:t>
            </w:r>
            <w:r>
              <w:rPr>
                <w:lang w:eastAsia="zh-CN"/>
              </w:rPr>
              <w:t>1999</w:t>
            </w:r>
            <w:r>
              <w:rPr>
                <w:rFonts w:hint="eastAsia"/>
                <w:lang w:eastAsia="zh-CN"/>
              </w:rPr>
              <w:t>年版；</w:t>
            </w:r>
          </w:p>
          <w:p>
            <w:pPr>
              <w:ind w:firstLine="480" w:firstLineChars="200"/>
              <w:rPr>
                <w:lang w:eastAsia="zh-CN"/>
              </w:rPr>
            </w:pPr>
            <w:r>
              <w:rPr>
                <w:rFonts w:hint="eastAsia" w:ascii="宋体"/>
                <w:lang w:eastAsia="zh-CN"/>
              </w:rPr>
              <w:t>（3）《人力资源开发与管理》，张德著，清华大学出版社，2001年版；</w:t>
            </w:r>
          </w:p>
          <w:p>
            <w:pPr>
              <w:ind w:firstLine="480" w:firstLineChars="200"/>
              <w:rPr>
                <w:lang w:eastAsia="zh-CN"/>
              </w:rPr>
            </w:pPr>
            <w:r>
              <w:rPr>
                <w:rFonts w:hint="eastAsia"/>
                <w:lang w:eastAsia="zh-CN"/>
              </w:rPr>
              <w:t>（4）《人力资源管理》，时勘、时雨，高等教育出版社，2017年版；</w:t>
            </w:r>
          </w:p>
          <w:p>
            <w:pPr>
              <w:ind w:firstLine="480" w:firstLineChars="200"/>
              <w:rPr>
                <w:lang w:eastAsia="zh-CN"/>
              </w:rPr>
            </w:pPr>
            <w:r>
              <w:rPr>
                <w:rFonts w:hint="eastAsia"/>
                <w:lang w:eastAsia="zh-CN"/>
              </w:rPr>
              <w:t>（5）《人力资源管理》，陈维政、余凯成、程文文，高等教育出版社，2016年版；</w:t>
            </w:r>
          </w:p>
          <w:p>
            <w:pPr>
              <w:ind w:firstLine="480" w:firstLineChars="200"/>
              <w:rPr>
                <w:rFonts w:ascii="宋体"/>
                <w:lang w:eastAsia="zh-CN"/>
              </w:rPr>
            </w:pPr>
            <w:r>
              <w:rPr>
                <w:rFonts w:hint="eastAsia" w:ascii="宋体"/>
                <w:lang w:eastAsia="zh-CN"/>
              </w:rPr>
              <w:t>（6）《人力资源管理概论》，彭剑锋主编，复旦大学出版社，2011年版；</w:t>
            </w:r>
          </w:p>
          <w:p>
            <w:pPr>
              <w:ind w:firstLine="480" w:firstLineChars="200"/>
              <w:rPr>
                <w:rFonts w:ascii="宋体"/>
                <w:lang w:eastAsia="zh-CN"/>
              </w:rPr>
            </w:pPr>
            <w:r>
              <w:rPr>
                <w:rFonts w:hint="eastAsia" w:ascii="宋体"/>
                <w:lang w:eastAsia="zh-CN"/>
              </w:rPr>
              <w:t>（7）《国际人力资源管理》，林新奇主编，复旦大学出版社，2011年版；</w:t>
            </w:r>
          </w:p>
          <w:p>
            <w:pPr>
              <w:ind w:firstLine="480" w:firstLineChars="200"/>
              <w:rPr>
                <w:rFonts w:ascii="宋体" w:hAnsi="宋体"/>
                <w:color w:val="000000"/>
                <w:shd w:val="solid" w:color="FFFFFF" w:fill="auto"/>
                <w:lang w:eastAsia="zh-CN"/>
              </w:rPr>
            </w:pPr>
            <w:r>
              <w:rPr>
                <w:rFonts w:hint="eastAsia"/>
                <w:lang w:eastAsia="zh-CN"/>
              </w:rPr>
              <w:t>（8）《</w:t>
            </w:r>
            <w:r>
              <w:rPr>
                <w:rFonts w:hint="eastAsia" w:ascii="宋体" w:hAnsi="宋体"/>
                <w:color w:val="000000"/>
                <w:shd w:val="solid" w:color="FFFFFF" w:fill="auto"/>
                <w:lang w:eastAsia="zh-CN"/>
              </w:rPr>
              <w:t>100个成功的人力资源管理</w:t>
            </w:r>
            <w:r>
              <w:rPr>
                <w:rFonts w:hint="eastAsia"/>
                <w:lang w:eastAsia="zh-CN"/>
              </w:rPr>
              <w:t>》，</w:t>
            </w:r>
            <w:r>
              <w:rPr>
                <w:rFonts w:hint="eastAsia" w:ascii="宋体" w:hAnsi="宋体"/>
                <w:color w:val="000000"/>
                <w:shd w:val="solid" w:color="FFFFFF" w:fill="auto"/>
                <w:lang w:eastAsia="zh-CN"/>
              </w:rPr>
              <w:t>李小勇编著，机械工业出版社，2004年版；</w:t>
            </w:r>
          </w:p>
          <w:p>
            <w:pPr>
              <w:spacing w:line="360" w:lineRule="auto"/>
              <w:ind w:firstLine="480" w:firstLineChars="200"/>
              <w:rPr>
                <w:rFonts w:ascii="宋体" w:hAnsi="宋体"/>
                <w:lang w:eastAsia="zh-CN"/>
              </w:rPr>
            </w:pPr>
            <w:r>
              <w:rPr>
                <w:rFonts w:hint="eastAsia" w:ascii="宋体" w:hAnsi="宋体"/>
                <w:color w:val="000000"/>
                <w:shd w:val="solid" w:color="FFFFFF" w:fill="auto"/>
                <w:lang w:eastAsia="zh-CN"/>
              </w:rPr>
              <w:t>（9）</w:t>
            </w:r>
            <w:r>
              <w:rPr>
                <w:rFonts w:hint="eastAsia" w:ascii="宋体" w:hAnsi="宋体"/>
                <w:lang w:eastAsia="zh-CN"/>
              </w:rPr>
              <w:t>《人力资源管理：赢得竞争优势》，雷蒙德-A-诺伊等，中国人民大学出版社，2001年版；</w:t>
            </w:r>
          </w:p>
          <w:p>
            <w:pPr>
              <w:spacing w:line="360" w:lineRule="auto"/>
              <w:ind w:firstLine="480" w:firstLineChars="200"/>
              <w:rPr>
                <w:rFonts w:ascii="宋体" w:hAnsi="宋体"/>
                <w:lang w:eastAsia="zh-CN"/>
              </w:rPr>
            </w:pPr>
            <w:r>
              <w:rPr>
                <w:rFonts w:hint="eastAsia" w:ascii="宋体" w:hAnsi="宋体"/>
                <w:lang w:eastAsia="zh-CN"/>
              </w:rPr>
              <w:t>（10）《人力资源管理经典案例》，廖泉文主编，高等教育出版社，2005年版。</w:t>
            </w:r>
          </w:p>
          <w:p>
            <w:pPr>
              <w:tabs>
                <w:tab w:val="left" w:pos="1440"/>
              </w:tabs>
              <w:spacing w:after="0" w:line="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这些都属于人力资源管理理论与应用的基础性内容，通过这些内容的学习与训练，可以培养学生先进的管理理念，树立科学的管理思想，掌握和运用高效的管理工具和手段，从而为个人职业生涯及社会发展奠定基础，为后续人力资源管理专业核心课程的学习打下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结合专业培养目标，提出本课程要达到的目标。这些目标包括：</w:t>
            </w:r>
          </w:p>
          <w:p>
            <w:pPr>
              <w:tabs>
                <w:tab w:val="left" w:pos="1440"/>
              </w:tabs>
              <w:spacing w:after="0" w:line="0" w:lineRule="atLeast"/>
              <w:ind w:firstLine="422" w:firstLineChars="200"/>
              <w:outlineLvl w:val="0"/>
              <w:rPr>
                <w:rFonts w:ascii="宋体" w:hAnsi="宋体" w:eastAsia="宋体"/>
                <w:b/>
                <w:sz w:val="21"/>
                <w:szCs w:val="21"/>
                <w:lang w:eastAsia="zh-CN"/>
              </w:rPr>
            </w:pPr>
            <w:r>
              <w:rPr>
                <w:rFonts w:ascii="宋体" w:hAnsi="宋体" w:eastAsia="宋体"/>
                <w:b/>
                <w:sz w:val="21"/>
                <w:szCs w:val="21"/>
                <w:lang w:eastAsia="zh-CN"/>
              </w:rPr>
              <w:t>1</w:t>
            </w:r>
            <w:r>
              <w:rPr>
                <w:rFonts w:hint="eastAsia" w:ascii="宋体" w:hAnsi="宋体" w:eastAsia="宋体"/>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pPr>
              <w:tabs>
                <w:tab w:val="left" w:pos="1440"/>
              </w:tabs>
              <w:spacing w:after="0" w:line="0" w:lineRule="atLeast"/>
              <w:ind w:firstLine="422" w:firstLineChars="200"/>
              <w:outlineLvl w:val="0"/>
              <w:rPr>
                <w:rFonts w:ascii="宋体" w:hAnsi="宋体" w:eastAsia="宋体"/>
                <w:b/>
                <w:sz w:val="21"/>
                <w:szCs w:val="21"/>
                <w:lang w:eastAsia="zh-CN"/>
              </w:rPr>
            </w:pPr>
            <w:r>
              <w:rPr>
                <w:rFonts w:ascii="宋体" w:hAnsi="宋体" w:eastAsia="宋体"/>
                <w:b/>
                <w:sz w:val="21"/>
                <w:szCs w:val="21"/>
                <w:lang w:eastAsia="zh-CN"/>
              </w:rPr>
              <w:t>2</w:t>
            </w:r>
            <w:r>
              <w:rPr>
                <w:rFonts w:hint="eastAsia" w:ascii="宋体" w:hAnsi="宋体" w:eastAsia="宋体"/>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pPr>
              <w:spacing w:after="0" w:line="0" w:lineRule="atLeast"/>
              <w:ind w:firstLine="422" w:firstLineChars="200"/>
              <w:rPr>
                <w:rFonts w:ascii="宋体" w:hAnsi="宋体" w:eastAsia="宋体"/>
                <w:b/>
                <w:sz w:val="21"/>
                <w:szCs w:val="21"/>
                <w:lang w:eastAsia="zh-CN"/>
              </w:rPr>
            </w:pPr>
            <w:r>
              <w:rPr>
                <w:rFonts w:ascii="宋体" w:hAnsi="宋体" w:eastAsia="宋体"/>
                <w:b/>
                <w:sz w:val="21"/>
                <w:szCs w:val="21"/>
                <w:lang w:eastAsia="zh-CN"/>
              </w:rPr>
              <w:t>3</w:t>
            </w:r>
            <w:r>
              <w:rPr>
                <w:rFonts w:hint="eastAsia" w:ascii="宋体" w:hAnsi="宋体" w:eastAsia="宋体"/>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786"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34"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48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728" w:type="dxa"/>
            <w:gridSpan w:val="2"/>
            <w:vAlign w:val="center"/>
          </w:tcPr>
          <w:p>
            <w:pPr>
              <w:rPr>
                <w:szCs w:val="21"/>
                <w:lang w:eastAsia="zh-CN"/>
              </w:rPr>
            </w:pPr>
            <w:r>
              <w:rPr>
                <w:rFonts w:hint="eastAsia"/>
                <w:szCs w:val="21"/>
                <w:lang w:eastAsia="zh-CN"/>
              </w:rPr>
              <w:t>绪论</w:t>
            </w:r>
          </w:p>
          <w:p>
            <w:pPr>
              <w:rPr>
                <w:rFonts w:ascii="宋体" w:hAnsi="宋体" w:eastAsia="宋体"/>
                <w:sz w:val="21"/>
                <w:szCs w:val="21"/>
                <w:lang w:eastAsia="zh-CN"/>
              </w:rPr>
            </w:pPr>
            <w:r>
              <w:rPr>
                <w:rFonts w:hint="eastAsia"/>
                <w:szCs w:val="21"/>
                <w:lang w:eastAsia="zh-CN"/>
              </w:rPr>
              <w:t>人力资源管理概述</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vAlign w:val="center"/>
          </w:tcPr>
          <w:p>
            <w:pPr>
              <w:rPr>
                <w:rFonts w:ascii="宋体" w:hAnsi="宋体" w:eastAsiaTheme="minorEastAsia"/>
                <w:sz w:val="21"/>
                <w:szCs w:val="21"/>
                <w:lang w:eastAsia="zh-CN"/>
              </w:rPr>
            </w:pPr>
            <w:r>
              <w:rPr>
                <w:rFonts w:hint="eastAsia"/>
                <w:szCs w:val="21"/>
                <w:lang w:eastAsia="zh-CN"/>
              </w:rPr>
              <w:t>人力资源管理的历史背景、发展历程、作用</w:t>
            </w:r>
            <w:r>
              <w:rPr>
                <w:rFonts w:hint="eastAsia" w:eastAsiaTheme="minorEastAsia"/>
                <w:szCs w:val="21"/>
                <w:lang w:eastAsia="zh-CN"/>
              </w:rPr>
              <w:t>、特征与概念。</w:t>
            </w:r>
          </w:p>
        </w:tc>
        <w:tc>
          <w:tcPr>
            <w:tcW w:w="113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1、人力资源管理的作用与意义？</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2、人力资源管理与传统人事管理的差异？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1728" w:type="dxa"/>
            <w:gridSpan w:val="2"/>
            <w:vAlign w:val="center"/>
          </w:tcPr>
          <w:p>
            <w:pPr>
              <w:rPr>
                <w:rFonts w:hAnsi="宋体"/>
                <w:szCs w:val="21"/>
                <w:lang w:eastAsia="zh-CN"/>
              </w:rPr>
            </w:pPr>
            <w:r>
              <w:rPr>
                <w:rFonts w:hint="eastAsia" w:hAnsi="宋体"/>
                <w:szCs w:val="21"/>
                <w:lang w:eastAsia="zh-CN"/>
              </w:rPr>
              <w:t>人力资源管理的内涵；</w:t>
            </w:r>
          </w:p>
          <w:p>
            <w:pPr>
              <w:rPr>
                <w:rFonts w:ascii="宋体" w:hAnsi="宋体" w:eastAsia="宋体"/>
                <w:sz w:val="21"/>
                <w:szCs w:val="21"/>
                <w:lang w:eastAsia="zh-CN"/>
              </w:rPr>
            </w:pPr>
            <w:r>
              <w:rPr>
                <w:rFonts w:hint="eastAsia" w:hAnsi="宋体"/>
                <w:szCs w:val="21"/>
                <w:lang w:eastAsia="zh-CN"/>
              </w:rPr>
              <w:t>人力资源管理的新问题</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vAlign w:val="center"/>
          </w:tcPr>
          <w:p>
            <w:pPr>
              <w:rPr>
                <w:rFonts w:ascii="宋体" w:hAnsi="宋体" w:eastAsia="宋体"/>
                <w:sz w:val="21"/>
                <w:szCs w:val="21"/>
                <w:lang w:eastAsia="zh-CN"/>
              </w:rPr>
            </w:pPr>
            <w:r>
              <w:rPr>
                <w:rFonts w:hint="eastAsia"/>
                <w:szCs w:val="21"/>
                <w:lang w:eastAsia="zh-CN"/>
              </w:rPr>
              <w:t>人力资源管理体系、人力资源管理</w:t>
            </w:r>
            <w:r>
              <w:rPr>
                <w:rFonts w:hint="eastAsia" w:eastAsiaTheme="minorEastAsia"/>
                <w:szCs w:val="21"/>
                <w:lang w:eastAsia="zh-CN"/>
              </w:rPr>
              <w:t>理论、人力资本投资理论、现代人力资源管理</w:t>
            </w:r>
            <w:r>
              <w:rPr>
                <w:rFonts w:hint="eastAsia"/>
                <w:szCs w:val="21"/>
                <w:lang w:eastAsia="zh-CN"/>
              </w:rPr>
              <w:t>实践</w:t>
            </w:r>
            <w:r>
              <w:rPr>
                <w:rFonts w:hint="eastAsia" w:eastAsiaTheme="minorEastAsia"/>
                <w:szCs w:val="21"/>
                <w:lang w:eastAsia="zh-CN"/>
              </w:rPr>
              <w:t>及面临的新问题</w:t>
            </w:r>
            <w:r>
              <w:rPr>
                <w:rFonts w:hint="eastAsia"/>
                <w:szCs w:val="21"/>
                <w:lang w:eastAsia="zh-CN"/>
              </w:rPr>
              <w:t>。</w:t>
            </w:r>
          </w:p>
        </w:tc>
        <w:tc>
          <w:tcPr>
            <w:tcW w:w="1134"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课堂讲授</w:t>
            </w:r>
          </w:p>
        </w:tc>
        <w:tc>
          <w:tcPr>
            <w:tcW w:w="14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1、人力资源管理的主要功能有哪些？</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2、找一家熟悉的企业，对其管理进行观察与总结，并就管理问题进行探讨，为后面的课堂讨论作准备。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1728" w:type="dxa"/>
            <w:gridSpan w:val="2"/>
            <w:vAlign w:val="center"/>
          </w:tcPr>
          <w:p>
            <w:pPr>
              <w:rPr>
                <w:rFonts w:ascii="宋体" w:hAnsi="宋体" w:eastAsia="宋体"/>
                <w:sz w:val="21"/>
                <w:szCs w:val="21"/>
                <w:lang w:eastAsia="zh-CN"/>
              </w:rPr>
            </w:pPr>
            <w:r>
              <w:rPr>
                <w:rFonts w:hint="eastAsia" w:hAnsi="宋体"/>
                <w:szCs w:val="21"/>
                <w:lang w:eastAsia="zh-CN"/>
              </w:rPr>
              <w:t>人力资源战略与战略性人力资源管理</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vAlign w:val="center"/>
          </w:tcPr>
          <w:p>
            <w:pPr>
              <w:rPr>
                <w:rFonts w:ascii="宋体" w:hAnsi="宋体" w:eastAsia="宋体"/>
                <w:sz w:val="21"/>
                <w:szCs w:val="21"/>
                <w:lang w:eastAsia="zh-CN"/>
              </w:rPr>
            </w:pPr>
            <w:r>
              <w:rPr>
                <w:rFonts w:hint="eastAsia"/>
                <w:szCs w:val="21"/>
                <w:lang w:eastAsia="zh-CN"/>
              </w:rPr>
              <w:t>企业战略和人力资源战略、战略性人力资源管理。</w:t>
            </w:r>
          </w:p>
        </w:tc>
        <w:tc>
          <w:tcPr>
            <w:tcW w:w="1134"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课堂讲授</w:t>
            </w:r>
          </w:p>
        </w:tc>
        <w:tc>
          <w:tcPr>
            <w:tcW w:w="14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1、如何实现人力资源战略与企业战略的有机结合。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2、雇主品牌的价值有哪些？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728" w:type="dxa"/>
            <w:gridSpan w:val="2"/>
            <w:vAlign w:val="center"/>
          </w:tcPr>
          <w:p>
            <w:pPr>
              <w:rPr>
                <w:rFonts w:ascii="宋体" w:hAnsi="宋体" w:eastAsia="宋体"/>
                <w:sz w:val="21"/>
                <w:szCs w:val="21"/>
              </w:rPr>
            </w:pPr>
            <w:r>
              <w:rPr>
                <w:rFonts w:hint="eastAsia"/>
                <w:szCs w:val="21"/>
              </w:rPr>
              <w:t>人力资源战略的制定</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vAlign w:val="center"/>
          </w:tcPr>
          <w:p>
            <w:pPr>
              <w:rPr>
                <w:rFonts w:ascii="宋体" w:hAnsi="宋体" w:eastAsia="宋体"/>
                <w:sz w:val="21"/>
                <w:szCs w:val="21"/>
                <w:lang w:eastAsia="zh-CN"/>
              </w:rPr>
            </w:pPr>
            <w:r>
              <w:rPr>
                <w:rFonts w:hint="eastAsia"/>
                <w:lang w:eastAsia="zh-CN"/>
              </w:rPr>
              <w:t>人力资源战略的影响因素、人力资源战略制定的流程、人力资源战略管理案例。</w:t>
            </w:r>
          </w:p>
        </w:tc>
        <w:tc>
          <w:tcPr>
            <w:tcW w:w="113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课堂讲授及学生调研讨论</w:t>
            </w:r>
          </w:p>
        </w:tc>
        <w:tc>
          <w:tcPr>
            <w:tcW w:w="14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1、就课堂讨论的其中某个问题写1500字左右的感想。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w:t>
            </w:r>
          </w:p>
        </w:tc>
        <w:tc>
          <w:tcPr>
            <w:tcW w:w="1728" w:type="dxa"/>
            <w:gridSpan w:val="2"/>
            <w:tcBorders>
              <w:bottom w:val="single" w:color="auto" w:sz="4" w:space="0"/>
            </w:tcBorders>
            <w:vAlign w:val="center"/>
          </w:tcPr>
          <w:p>
            <w:pPr>
              <w:rPr>
                <w:rFonts w:ascii="宋体" w:hAnsi="宋体" w:eastAsia="宋体"/>
                <w:sz w:val="21"/>
                <w:szCs w:val="21"/>
              </w:rPr>
            </w:pPr>
            <w:r>
              <w:rPr>
                <w:rFonts w:hint="eastAsia"/>
                <w:szCs w:val="21"/>
              </w:rPr>
              <w:t>人力资源规划</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bottom w:val="single" w:color="auto" w:sz="4" w:space="0"/>
            </w:tcBorders>
            <w:vAlign w:val="center"/>
          </w:tcPr>
          <w:p>
            <w:pPr>
              <w:rPr>
                <w:rFonts w:ascii="宋体" w:hAnsi="宋体" w:eastAsia="宋体"/>
                <w:sz w:val="21"/>
                <w:szCs w:val="21"/>
                <w:lang w:eastAsia="zh-CN"/>
              </w:rPr>
            </w:pPr>
            <w:r>
              <w:rPr>
                <w:rFonts w:hint="eastAsia"/>
                <w:lang w:eastAsia="zh-CN"/>
              </w:rPr>
              <w:t>人力资源规划概述、人力资源供给与需求预测、人力资源规划的平衡。</w:t>
            </w:r>
          </w:p>
        </w:tc>
        <w:tc>
          <w:tcPr>
            <w:tcW w:w="1134"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课堂讲授及学生调研讨论</w:t>
            </w:r>
          </w:p>
        </w:tc>
        <w:tc>
          <w:tcPr>
            <w:tcW w:w="14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以2-3个人为一组，作一个企业的人力资源需求调查并写成调查报告，选择其中的优秀报告在后面的实验课中加以演示与讨论。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728" w:type="dxa"/>
            <w:gridSpan w:val="2"/>
            <w:tcBorders>
              <w:bottom w:val="single" w:color="auto" w:sz="4" w:space="0"/>
            </w:tcBorders>
            <w:vAlign w:val="center"/>
          </w:tcPr>
          <w:p>
            <w:pPr>
              <w:rPr>
                <w:szCs w:val="21"/>
                <w:lang w:eastAsia="zh-CN"/>
              </w:rPr>
            </w:pPr>
            <w:r>
              <w:rPr>
                <w:rFonts w:hint="eastAsia"/>
                <w:szCs w:val="21"/>
                <w:lang w:eastAsia="zh-CN"/>
              </w:rPr>
              <w:t>人力资源信息系统；</w:t>
            </w:r>
          </w:p>
          <w:p>
            <w:pPr>
              <w:rPr>
                <w:rFonts w:ascii="宋体" w:hAnsi="宋体" w:eastAsia="宋体"/>
                <w:sz w:val="21"/>
                <w:szCs w:val="21"/>
                <w:lang w:eastAsia="zh-CN"/>
              </w:rPr>
            </w:pPr>
            <w:r>
              <w:rPr>
                <w:rFonts w:hint="eastAsia"/>
                <w:szCs w:val="21"/>
                <w:lang w:eastAsia="zh-CN"/>
              </w:rPr>
              <w:t>工作分析概述</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bottom w:val="single" w:color="auto" w:sz="4" w:space="0"/>
            </w:tcBorders>
            <w:vAlign w:val="center"/>
          </w:tcPr>
          <w:p>
            <w:pPr>
              <w:rPr>
                <w:rFonts w:ascii="宋体" w:hAnsi="宋体" w:eastAsia="宋体"/>
                <w:sz w:val="21"/>
                <w:szCs w:val="21"/>
                <w:lang w:eastAsia="zh-CN"/>
              </w:rPr>
            </w:pPr>
            <w:r>
              <w:rPr>
                <w:rFonts w:hint="eastAsia"/>
                <w:lang w:eastAsia="zh-CN"/>
              </w:rPr>
              <w:t>人力资源管理信息系统、人力资源规划案例、工作分析的概念、原理和基本内容。</w:t>
            </w:r>
          </w:p>
        </w:tc>
        <w:tc>
          <w:tcPr>
            <w:tcW w:w="1134"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1、如何构建人力资源管理信息系统？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2、如何制定企业岗位职责？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工作分析方法；</w:t>
            </w:r>
          </w:p>
          <w:p>
            <w:pPr>
              <w:rPr>
                <w:rFonts w:ascii="宋体" w:hAnsi="宋体" w:eastAsia="宋体"/>
                <w:sz w:val="21"/>
                <w:szCs w:val="21"/>
                <w:lang w:eastAsia="zh-CN"/>
              </w:rPr>
            </w:pPr>
            <w:r>
              <w:rPr>
                <w:rFonts w:hint="eastAsia"/>
                <w:lang w:eastAsia="zh-CN"/>
              </w:rPr>
              <w:t xml:space="preserve">工作设计原理与方法 </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lang w:eastAsia="zh-CN"/>
              </w:rPr>
              <w:t>工作分析的方法、工作描述和工作规范的编写、工作设计的原理与方法。</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举例说明工作描述和工作规范在企业人力资源管理活动中的用途。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工作分析与设计案例；</w:t>
            </w:r>
          </w:p>
          <w:p>
            <w:pPr>
              <w:rPr>
                <w:rFonts w:ascii="宋体" w:hAnsi="宋体" w:eastAsia="宋体"/>
                <w:sz w:val="21"/>
                <w:szCs w:val="21"/>
                <w:lang w:eastAsia="zh-CN"/>
              </w:rPr>
            </w:pPr>
            <w:r>
              <w:rPr>
                <w:rFonts w:hint="eastAsia"/>
                <w:lang w:eastAsia="zh-CN"/>
              </w:rPr>
              <w:t>员工招聘</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lang w:eastAsia="zh-CN"/>
              </w:rPr>
              <w:t>员工招聘、员工甄选、员工录用与评估。</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课堂理论讲授及学生案例讨论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以某一企业或某一区域为例，对其“用工荒”的状况、原因进行调查分析。优秀成果在后面的实验课中加以演示和讨论。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szCs w:val="21"/>
                <w:lang w:eastAsia="zh-CN"/>
              </w:rPr>
            </w:pPr>
            <w:r>
              <w:rPr>
                <w:rFonts w:hint="eastAsia"/>
                <w:szCs w:val="21"/>
                <w:lang w:eastAsia="zh-CN"/>
              </w:rPr>
              <w:t>员工招聘案例；</w:t>
            </w:r>
          </w:p>
          <w:p>
            <w:pPr>
              <w:rPr>
                <w:rFonts w:ascii="宋体" w:hAnsi="宋体" w:eastAsia="宋体"/>
                <w:sz w:val="21"/>
                <w:szCs w:val="21"/>
                <w:lang w:eastAsia="zh-CN"/>
              </w:rPr>
            </w:pPr>
            <w:r>
              <w:rPr>
                <w:rFonts w:hint="eastAsia"/>
                <w:szCs w:val="21"/>
                <w:lang w:eastAsia="zh-CN"/>
              </w:rPr>
              <w:t>员工职业生涯规划</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lang w:eastAsia="zh-CN"/>
              </w:rPr>
              <w:t>员工职业生涯规划概述、胜任力模型、员工职业管理。</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课堂理论讲授及学生案例讨论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每个同学做一个自己的职业生涯分析与规划。字数不少于3000字。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Cs w:val="24"/>
                <w:lang w:eastAsia="zh-CN"/>
              </w:rPr>
            </w:pPr>
            <w:r>
              <w:rPr>
                <w:rFonts w:hint="eastAsia" w:ascii="宋体" w:hAnsi="宋体" w:eastAsia="宋体"/>
                <w:szCs w:val="24"/>
                <w:lang w:eastAsia="zh-CN"/>
              </w:rPr>
              <w:t>案例分析与讨论</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案例分析方法、步骤与结论。</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案例分析与讨论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根据课堂案例分析与讨论的启发，在你前面调研的基础上，提炼一个1500字左右的案例分析。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Cs w:val="24"/>
                <w:lang w:eastAsia="zh-CN"/>
              </w:rPr>
            </w:pPr>
            <w:r>
              <w:rPr>
                <w:rFonts w:hint="eastAsia"/>
                <w:szCs w:val="24"/>
                <w:lang w:eastAsia="zh-CN"/>
              </w:rPr>
              <w:t>员工职业生涯规划与管理</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lang w:eastAsia="zh-CN"/>
              </w:rPr>
              <w:t>员工职业生涯规划、员工职业生涯管理、员工职业生涯开发与规划案例。</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1、员工职业生涯规划与企业发展之间有何关系？</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2、如何通过职业生涯规划提高员工的满意度？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员工职业生涯管理问题</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员工职业生涯管理现象、国外员工职业生涯管理的新发展。</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学生职业生涯规划讲解与点评</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根据讲解与点评，每个人对其职业生涯分析与规划进行修改。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rPr>
            </w:pPr>
            <w:r>
              <w:rPr>
                <w:rFonts w:hint="eastAsia"/>
                <w:szCs w:val="21"/>
              </w:rPr>
              <w:t>员工培训</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员工培训计划、员工培训项目实施、员工培训项目效果评估。</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1、员工培训对组织发展有何意义？</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2、如何将员工培训成本转化为投入资本？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rPr>
            </w:pPr>
            <w:r>
              <w:rPr>
                <w:rFonts w:hint="eastAsia"/>
                <w:szCs w:val="21"/>
              </w:rPr>
              <w:t>绩效评估</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绩效评估方法、平衡计分卡、绩效评估面谈。</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1、人力资源管理中的绩效评估与传统的人事考核有何差异？</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2、企业员工的绩效评估面谈有哪些注意事项？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员工薪酬与福利</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员工薪酬设计、员工福利管理。</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课堂讲授与学生调研讨论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如何在企业中运用内容型激励理论和过程型激励理论？并各举一例。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员工关系管理</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员工关系的理论与发展、员工关系管理。</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课堂讲授与学生调研讨论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1、目前企业中存在的劳动关系问题有哪些？</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2、以2-3位同学为一组，从企业获取一个较为详细的劳动关系问题，提炼较为全面、深刻者将作为后面实验课讨论案例。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rFonts w:eastAsia="宋体"/>
                <w:szCs w:val="21"/>
                <w:lang w:eastAsia="zh-CN"/>
              </w:rPr>
            </w:pPr>
            <w:r>
              <w:rPr>
                <w:rFonts w:hint="eastAsia"/>
                <w:szCs w:val="21"/>
              </w:rPr>
              <w:t>国际人力资源管理</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szCs w:val="21"/>
                <w:lang w:eastAsia="zh-CN"/>
              </w:rPr>
              <w:t>跨国公司员工招聘、绩效管理、培训及薪酬、福利计划。</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1、跨国公司员工招聘有何特点？</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2、跨国公司如何对员工进行绩效评估？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eastAsia="宋体"/>
                <w:szCs w:val="21"/>
                <w:lang w:eastAsia="zh-CN"/>
              </w:rPr>
              <w:t>案例分析与讨论</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786"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案例分析方法、步骤与结论。</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案例分析与讨论</w:t>
            </w:r>
          </w:p>
        </w:tc>
        <w:tc>
          <w:tcPr>
            <w:tcW w:w="14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bookmarkStart w:id="0" w:name="_GoBack"/>
            <w:bookmarkEnd w:id="0"/>
            <w:r>
              <w:rPr>
                <w:rFonts w:hint="eastAsia" w:ascii="宋体" w:hAnsi="宋体" w:eastAsia="宋体"/>
                <w:sz w:val="21"/>
                <w:szCs w:val="21"/>
                <w:lang w:eastAsia="zh-CN"/>
              </w:rPr>
              <w:t>写一篇关于人力资源管理评价的文章。字数不少于3000字。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rPr>
                <w:lang w:eastAsia="zh-CN"/>
              </w:rPr>
            </w:pPr>
            <w:r>
              <w:rPr>
                <w:rFonts w:hint="eastAsia" w:ascii="宋体" w:hAnsi="宋体" w:eastAsia="宋体"/>
                <w:b/>
                <w:sz w:val="21"/>
                <w:szCs w:val="21"/>
                <w:lang w:eastAsia="zh-CN"/>
              </w:rPr>
              <w:t>　　　　　　　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54</w:t>
            </w:r>
          </w:p>
        </w:tc>
        <w:tc>
          <w:tcPr>
            <w:tcW w:w="3786" w:type="dxa"/>
            <w:gridSpan w:val="3"/>
            <w:tcBorders>
              <w:top w:val="single" w:color="auto" w:sz="4" w:space="0"/>
            </w:tcBorders>
            <w:vAlign w:val="center"/>
          </w:tcPr>
          <w:p>
            <w:pPr>
              <w:spacing w:after="0" w:line="0" w:lineRule="atLeast"/>
              <w:rPr>
                <w:rFonts w:ascii="宋体" w:hAnsi="宋体" w:eastAsia="宋体"/>
                <w:sz w:val="21"/>
                <w:szCs w:val="21"/>
              </w:rPr>
            </w:pPr>
          </w:p>
        </w:tc>
        <w:tc>
          <w:tcPr>
            <w:tcW w:w="1134" w:type="dxa"/>
            <w:gridSpan w:val="2"/>
            <w:tcBorders>
              <w:top w:val="single" w:color="auto" w:sz="4" w:space="0"/>
            </w:tcBorders>
            <w:vAlign w:val="center"/>
          </w:tcPr>
          <w:p>
            <w:pPr>
              <w:spacing w:after="0" w:line="0" w:lineRule="atLeast"/>
              <w:rPr>
                <w:rFonts w:ascii="宋体" w:hAnsi="宋体" w:eastAsia="宋体"/>
                <w:sz w:val="21"/>
                <w:szCs w:val="21"/>
              </w:rPr>
            </w:pPr>
          </w:p>
        </w:tc>
        <w:tc>
          <w:tcPr>
            <w:tcW w:w="1482"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569"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2616"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企业人力资源状况调查</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调查方法、调查内容与注意事项。</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课堂讲解与辅导。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企业人力资源状况调查</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报告撰写与课堂演示。</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设计</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课堂演示、讲解与点评。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东莞市企业“用工荒”状况、原因与对策调研</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问卷设计、样本选择与统计分析。</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课堂演示、讲解与点评。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个人职业生涯规划</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职业生涯分析与规划.</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设计</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课堂演示、讲解与点评。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人力资源管理案例分析</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案例分析方法、步骤与结论。</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课堂讨论与分析。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个人职业生涯的改进与完善</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针对个人职业性向与社会发展趋势进行职业规划的修改与完善。</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设计</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课堂讲解与辅导。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薪酬理论与应用调研与讨论</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薪酬理论与管理实践的有机结合。</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验证</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课堂演示、讲解与点评。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企业劳动关系状况调研与讨论</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企业劳动关系资料的搜集与整理。</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课堂演示、讲解与讨论。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人力资源管理案例分析</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案例分析方法、步骤与结论。</w:t>
            </w:r>
          </w:p>
        </w:tc>
        <w:tc>
          <w:tcPr>
            <w:tcW w:w="56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616" w:type="dxa"/>
            <w:gridSpan w:val="3"/>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课堂讨论与分析。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3217" w:type="dxa"/>
            <w:gridSpan w:val="2"/>
            <w:vAlign w:val="center"/>
          </w:tcPr>
          <w:p>
            <w:pPr>
              <w:spacing w:after="0" w:line="0" w:lineRule="atLeast"/>
              <w:rPr>
                <w:rFonts w:ascii="宋体" w:hAnsi="宋体" w:eastAsia="宋体"/>
                <w:sz w:val="21"/>
                <w:szCs w:val="21"/>
              </w:rPr>
            </w:pPr>
          </w:p>
        </w:tc>
        <w:tc>
          <w:tcPr>
            <w:tcW w:w="569" w:type="dxa"/>
            <w:vAlign w:val="center"/>
          </w:tcPr>
          <w:p>
            <w:pPr>
              <w:spacing w:after="0" w:line="0" w:lineRule="atLeast"/>
              <w:rPr>
                <w:rFonts w:ascii="宋体" w:hAnsi="宋体" w:eastAsia="宋体"/>
                <w:sz w:val="21"/>
                <w:szCs w:val="21"/>
              </w:rPr>
            </w:pPr>
          </w:p>
        </w:tc>
        <w:tc>
          <w:tcPr>
            <w:tcW w:w="2616"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line="240" w:lineRule="atLeast"/>
              <w:rPr>
                <w:rFonts w:ascii="宋体" w:hAnsi="宋体" w:eastAsia="宋体"/>
                <w:sz w:val="21"/>
                <w:szCs w:val="21"/>
                <w:lang w:eastAsia="zh-CN"/>
              </w:rPr>
            </w:pPr>
            <w:r>
              <w:rPr>
                <w:rFonts w:hint="eastAsia" w:ascii="宋体"/>
                <w:szCs w:val="21"/>
                <w:lang w:eastAsia="zh-CN"/>
              </w:rPr>
              <w:t>课堂</w:t>
            </w:r>
            <w:r>
              <w:rPr>
                <w:rFonts w:hint="eastAsia" w:ascii="宋体" w:eastAsia="宋体"/>
                <w:szCs w:val="21"/>
                <w:lang w:eastAsia="zh-CN"/>
              </w:rPr>
              <w:t>考察（</w:t>
            </w:r>
            <w:r>
              <w:rPr>
                <w:rFonts w:hint="eastAsia" w:ascii="宋体"/>
                <w:szCs w:val="21"/>
                <w:lang w:eastAsia="zh-CN"/>
              </w:rPr>
              <w:t>出勤</w:t>
            </w:r>
            <w:r>
              <w:rPr>
                <w:rFonts w:hint="eastAsia" w:ascii="宋体" w:eastAsia="宋体"/>
                <w:szCs w:val="21"/>
                <w:lang w:eastAsia="zh-CN"/>
              </w:rPr>
              <w:t>与</w:t>
            </w:r>
            <w:r>
              <w:rPr>
                <w:rFonts w:hint="eastAsia" w:ascii="宋体"/>
                <w:szCs w:val="21"/>
                <w:lang w:eastAsia="zh-CN"/>
              </w:rPr>
              <w:t>课堂纪律</w:t>
            </w:r>
            <w:r>
              <w:rPr>
                <w:rFonts w:hint="eastAsia" w:ascii="宋体" w:eastAsia="宋体"/>
                <w:szCs w:val="21"/>
                <w:lang w:eastAsia="zh-CN"/>
              </w:rPr>
              <w:t>）</w:t>
            </w:r>
          </w:p>
        </w:tc>
        <w:tc>
          <w:tcPr>
            <w:tcW w:w="5811" w:type="dxa"/>
            <w:gridSpan w:val="6"/>
            <w:vAlign w:val="center"/>
          </w:tcPr>
          <w:p>
            <w:pPr>
              <w:snapToGrid w:val="0"/>
              <w:spacing w:line="240" w:lineRule="atLeast"/>
              <w:ind w:left="180"/>
              <w:rPr>
                <w:szCs w:val="21"/>
                <w:lang w:eastAsia="zh-CN"/>
              </w:rPr>
            </w:pPr>
            <w:r>
              <w:rPr>
                <w:rFonts w:hint="eastAsia"/>
                <w:szCs w:val="21"/>
                <w:lang w:eastAsia="zh-CN"/>
              </w:rPr>
              <w:t>1. 评价标准：旷一课时扣2分，旷课时数达到本门课程的1/4时，课堂考查成绩为零，旷课时数达到本门课程的1/3时，不准参加本门课程考试；迟到、早退、打瞌睡、玩手机累计5次者口头警告，口头警告达到三次，课堂考勤成绩为零，达到5次，课堂考查成绩为零。</w:t>
            </w:r>
          </w:p>
          <w:p>
            <w:pPr>
              <w:snapToGrid w:val="0"/>
              <w:spacing w:line="240" w:lineRule="atLeast"/>
              <w:ind w:left="180"/>
              <w:rPr>
                <w:rFonts w:ascii="宋体" w:hAnsi="宋体" w:eastAsia="宋体"/>
                <w:sz w:val="21"/>
                <w:szCs w:val="21"/>
                <w:lang w:eastAsia="zh-CN"/>
              </w:rPr>
            </w:pPr>
            <w:r>
              <w:rPr>
                <w:rFonts w:hint="eastAsia"/>
                <w:szCs w:val="21"/>
                <w:lang w:eastAsia="zh-CN"/>
              </w:rPr>
              <w:t>2. 要求：不旷课、不迟到、不早退、不打瞌睡、不玩手机、不做小动作。</w:t>
            </w:r>
          </w:p>
        </w:tc>
        <w:tc>
          <w:tcPr>
            <w:tcW w:w="1583" w:type="dxa"/>
            <w:gridSpan w:val="2"/>
            <w:vAlign w:val="center"/>
          </w:tcPr>
          <w:p>
            <w:pPr>
              <w:snapToGrid w:val="0"/>
              <w:spacing w:line="240" w:lineRule="atLeast"/>
              <w:jc w:val="center"/>
              <w:rPr>
                <w:rFonts w:ascii="宋体" w:hAnsi="宋体" w:eastAsia="宋体"/>
                <w:sz w:val="21"/>
                <w:szCs w:val="21"/>
              </w:rPr>
            </w:pPr>
            <w:r>
              <w:rPr>
                <w:szCs w:val="21"/>
              </w:rPr>
              <w:t>5</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line="240" w:lineRule="atLeast"/>
              <w:rPr>
                <w:rFonts w:ascii="宋体" w:hAnsi="宋体" w:eastAsia="宋体"/>
                <w:sz w:val="21"/>
                <w:szCs w:val="21"/>
              </w:rPr>
            </w:pPr>
            <w:r>
              <w:rPr>
                <w:rFonts w:hint="eastAsia" w:ascii="宋体" w:hAnsi="宋体" w:eastAsia="宋体"/>
                <w:szCs w:val="21"/>
                <w:lang w:eastAsia="zh-CN"/>
              </w:rPr>
              <w:t>课程调查与讨论</w:t>
            </w:r>
          </w:p>
        </w:tc>
        <w:tc>
          <w:tcPr>
            <w:tcW w:w="5811" w:type="dxa"/>
            <w:gridSpan w:val="6"/>
            <w:vAlign w:val="center"/>
          </w:tcPr>
          <w:p>
            <w:pPr>
              <w:snapToGrid w:val="0"/>
              <w:spacing w:line="240" w:lineRule="atLeast"/>
              <w:ind w:left="180"/>
              <w:rPr>
                <w:rFonts w:ascii="宋体" w:hAnsi="宋体"/>
                <w:szCs w:val="21"/>
              </w:rPr>
            </w:pPr>
            <w:r>
              <w:rPr>
                <w:rFonts w:hint="eastAsia" w:ascii="宋体" w:hAnsi="宋体"/>
                <w:szCs w:val="21"/>
              </w:rPr>
              <w:t>评价标准：</w:t>
            </w:r>
          </w:p>
          <w:p>
            <w:pPr>
              <w:numPr>
                <w:ilvl w:val="0"/>
                <w:numId w:val="1"/>
              </w:numPr>
              <w:snapToGrid w:val="0"/>
              <w:spacing w:line="240" w:lineRule="atLeast"/>
              <w:ind w:left="180"/>
              <w:rPr>
                <w:rFonts w:ascii="宋体" w:hAnsi="宋体" w:eastAsia="宋体"/>
                <w:szCs w:val="21"/>
                <w:lang w:eastAsia="zh-CN"/>
              </w:rPr>
            </w:pPr>
            <w:r>
              <w:rPr>
                <w:rFonts w:hint="eastAsia" w:ascii="宋体" w:hAnsi="宋体" w:eastAsia="宋体"/>
                <w:szCs w:val="21"/>
                <w:lang w:eastAsia="zh-CN"/>
              </w:rPr>
              <w:t>按照有关要求积极参与课程调查，提交调查报告者，得1－3分；</w:t>
            </w:r>
          </w:p>
          <w:p>
            <w:pPr>
              <w:numPr>
                <w:ilvl w:val="0"/>
                <w:numId w:val="1"/>
              </w:numPr>
              <w:snapToGrid w:val="0"/>
              <w:spacing w:line="240" w:lineRule="atLeast"/>
              <w:ind w:left="180"/>
              <w:rPr>
                <w:rFonts w:ascii="宋体" w:hAnsi="宋体" w:eastAsia="宋体"/>
                <w:szCs w:val="21"/>
                <w:lang w:eastAsia="zh-CN"/>
              </w:rPr>
            </w:pPr>
            <w:r>
              <w:rPr>
                <w:rFonts w:hint="eastAsia" w:ascii="宋体" w:hAnsi="宋体" w:eastAsia="宋体"/>
                <w:szCs w:val="21"/>
                <w:lang w:eastAsia="zh-CN"/>
              </w:rPr>
              <w:t>提交的调查报告规范、整洁者，得4－6分；</w:t>
            </w:r>
          </w:p>
          <w:p>
            <w:pPr>
              <w:snapToGrid w:val="0"/>
              <w:spacing w:line="240" w:lineRule="atLeast"/>
              <w:ind w:left="180"/>
              <w:rPr>
                <w:rFonts w:ascii="宋体" w:hAnsi="宋体" w:eastAsia="宋体"/>
                <w:sz w:val="21"/>
                <w:szCs w:val="21"/>
                <w:lang w:eastAsia="zh-CN"/>
              </w:rPr>
            </w:pPr>
            <w:r>
              <w:rPr>
                <w:rFonts w:hint="eastAsia" w:ascii="宋体" w:hAnsi="宋体" w:eastAsia="宋体"/>
                <w:szCs w:val="21"/>
                <w:lang w:eastAsia="zh-CN"/>
              </w:rPr>
              <w:t>调查报告的内容比较全面、深刻且能参与课堂演示并讲解、讨论者，得7－10分。</w:t>
            </w:r>
          </w:p>
        </w:tc>
        <w:tc>
          <w:tcPr>
            <w:tcW w:w="1583" w:type="dxa"/>
            <w:gridSpan w:val="2"/>
            <w:vAlign w:val="center"/>
          </w:tcPr>
          <w:p>
            <w:pPr>
              <w:snapToGrid w:val="0"/>
              <w:spacing w:line="240" w:lineRule="atLeast"/>
              <w:jc w:val="center"/>
              <w:rPr>
                <w:rFonts w:ascii="宋体" w:hAnsi="宋体" w:eastAsia="宋体"/>
                <w:sz w:val="21"/>
                <w:szCs w:val="21"/>
              </w:rPr>
            </w:pPr>
            <w:r>
              <w:rPr>
                <w:rFonts w:hint="eastAsia"/>
                <w:szCs w:val="21"/>
              </w:rPr>
              <w:t>15</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line="240" w:lineRule="atLeast"/>
              <w:rPr>
                <w:rFonts w:ascii="宋体" w:hAnsi="宋体" w:eastAsia="宋体"/>
                <w:szCs w:val="24"/>
                <w:lang w:eastAsia="zh-CN"/>
              </w:rPr>
            </w:pPr>
            <w:r>
              <w:rPr>
                <w:rFonts w:hint="eastAsia" w:ascii="宋体" w:hAnsi="宋体" w:eastAsia="宋体"/>
                <w:szCs w:val="24"/>
                <w:lang w:eastAsia="zh-CN"/>
              </w:rPr>
              <w:t>作业</w:t>
            </w:r>
          </w:p>
        </w:tc>
        <w:tc>
          <w:tcPr>
            <w:tcW w:w="5811" w:type="dxa"/>
            <w:gridSpan w:val="6"/>
            <w:vAlign w:val="center"/>
          </w:tcPr>
          <w:p>
            <w:pPr>
              <w:snapToGrid w:val="0"/>
              <w:spacing w:line="240" w:lineRule="atLeast"/>
              <w:ind w:left="180"/>
              <w:rPr>
                <w:rFonts w:ascii="宋体" w:hAnsi="宋体" w:eastAsia="宋体"/>
                <w:szCs w:val="24"/>
                <w:lang w:eastAsia="zh-CN"/>
              </w:rPr>
            </w:pPr>
            <w:r>
              <w:rPr>
                <w:rFonts w:hint="eastAsia" w:ascii="宋体" w:hAnsi="宋体" w:eastAsia="宋体"/>
                <w:szCs w:val="24"/>
                <w:lang w:eastAsia="zh-CN"/>
              </w:rPr>
              <w:t>抽查其中的3次作业。作业评价标准：</w:t>
            </w:r>
          </w:p>
          <w:p>
            <w:pPr>
              <w:numPr>
                <w:ilvl w:val="0"/>
                <w:numId w:val="2"/>
              </w:numPr>
              <w:snapToGrid w:val="0"/>
              <w:spacing w:line="240" w:lineRule="atLeast"/>
              <w:ind w:left="180"/>
              <w:rPr>
                <w:rFonts w:ascii="宋体" w:hAnsi="宋体" w:eastAsia="宋体"/>
                <w:szCs w:val="24"/>
                <w:lang w:eastAsia="zh-CN"/>
              </w:rPr>
            </w:pPr>
            <w:r>
              <w:rPr>
                <w:rFonts w:hint="eastAsia" w:ascii="宋体" w:hAnsi="宋体" w:eastAsia="宋体"/>
                <w:szCs w:val="24"/>
                <w:lang w:eastAsia="zh-CN"/>
              </w:rPr>
              <w:t>按要求完成作业者，得1－2分；</w:t>
            </w:r>
          </w:p>
          <w:p>
            <w:pPr>
              <w:numPr>
                <w:ilvl w:val="0"/>
                <w:numId w:val="2"/>
              </w:numPr>
              <w:snapToGrid w:val="0"/>
              <w:spacing w:line="240" w:lineRule="atLeast"/>
              <w:ind w:left="180"/>
              <w:rPr>
                <w:rFonts w:ascii="宋体" w:hAnsi="宋体" w:eastAsia="宋体"/>
                <w:szCs w:val="24"/>
                <w:lang w:eastAsia="zh-CN"/>
              </w:rPr>
            </w:pPr>
            <w:r>
              <w:rPr>
                <w:rFonts w:hint="eastAsia" w:ascii="宋体" w:hAnsi="宋体" w:eastAsia="宋体"/>
                <w:szCs w:val="24"/>
                <w:lang w:eastAsia="zh-CN"/>
              </w:rPr>
              <w:t>作业认真、细致者，得3－4分；</w:t>
            </w:r>
          </w:p>
          <w:p>
            <w:pPr>
              <w:numPr>
                <w:ilvl w:val="0"/>
                <w:numId w:val="2"/>
              </w:numPr>
              <w:snapToGrid w:val="0"/>
              <w:spacing w:line="240" w:lineRule="atLeast"/>
              <w:ind w:left="180"/>
              <w:rPr>
                <w:rFonts w:ascii="宋体" w:hAnsi="宋体" w:eastAsia="宋体"/>
                <w:szCs w:val="24"/>
                <w:lang w:eastAsia="zh-CN"/>
              </w:rPr>
            </w:pPr>
            <w:r>
              <w:rPr>
                <w:rFonts w:hint="eastAsia" w:ascii="宋体" w:hAnsi="宋体" w:eastAsia="宋体"/>
                <w:szCs w:val="24"/>
                <w:lang w:eastAsia="zh-CN"/>
              </w:rPr>
              <w:t>作业全面、深刻者，得5分。</w:t>
            </w:r>
          </w:p>
        </w:tc>
        <w:tc>
          <w:tcPr>
            <w:tcW w:w="1583" w:type="dxa"/>
            <w:gridSpan w:val="2"/>
            <w:vAlign w:val="center"/>
          </w:tcPr>
          <w:p>
            <w:pPr>
              <w:snapToGrid w:val="0"/>
              <w:spacing w:line="240" w:lineRule="atLeast"/>
              <w:jc w:val="center"/>
              <w:rPr>
                <w:rFonts w:ascii="宋体" w:hAnsi="宋体" w:eastAsia="宋体"/>
                <w:sz w:val="21"/>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line="240" w:lineRule="atLeast"/>
              <w:rPr>
                <w:rFonts w:hint="eastAsia" w:ascii="宋体" w:hAnsi="宋体" w:eastAsia="宋体"/>
                <w:szCs w:val="24"/>
                <w:lang w:eastAsia="zh-CN"/>
              </w:rPr>
            </w:pPr>
            <w:r>
              <w:rPr>
                <w:rFonts w:hint="eastAsia" w:ascii="宋体" w:hAnsi="宋体" w:eastAsia="宋体"/>
                <w:szCs w:val="24"/>
                <w:lang w:eastAsia="zh-CN"/>
              </w:rPr>
              <w:t>期中考试</w:t>
            </w:r>
          </w:p>
        </w:tc>
        <w:tc>
          <w:tcPr>
            <w:tcW w:w="5811" w:type="dxa"/>
            <w:gridSpan w:val="6"/>
            <w:vAlign w:val="center"/>
          </w:tcPr>
          <w:p>
            <w:pPr>
              <w:widowControl w:val="0"/>
              <w:numPr>
                <w:ilvl w:val="0"/>
                <w:numId w:val="3"/>
              </w:numPr>
              <w:snapToGrid w:val="0"/>
              <w:spacing w:after="0" w:line="320" w:lineRule="exact"/>
              <w:jc w:val="left"/>
              <w:rPr>
                <w:rFonts w:asciiTheme="minorEastAsia" w:hAnsiTheme="minorEastAsia" w:eastAsiaTheme="minorEastAsia"/>
                <w:sz w:val="21"/>
                <w:szCs w:val="21"/>
              </w:rPr>
            </w:pPr>
            <w:r>
              <w:rPr>
                <w:rFonts w:hint="eastAsia" w:asciiTheme="minorEastAsia" w:hAnsiTheme="minorEastAsia" w:eastAsiaTheme="minorEastAsia"/>
                <w:sz w:val="21"/>
                <w:szCs w:val="21"/>
              </w:rPr>
              <w:t>评价标准：参考答案</w:t>
            </w:r>
          </w:p>
          <w:p>
            <w:pPr>
              <w:widowControl w:val="0"/>
              <w:numPr>
                <w:ilvl w:val="0"/>
                <w:numId w:val="3"/>
              </w:numPr>
              <w:snapToGrid w:val="0"/>
              <w:spacing w:after="0" w:line="320" w:lineRule="exact"/>
              <w:jc w:val="lef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方式和渠道：课程论文</w:t>
            </w:r>
          </w:p>
          <w:p>
            <w:pPr>
              <w:widowControl w:val="0"/>
              <w:numPr>
                <w:ilvl w:val="0"/>
                <w:numId w:val="3"/>
              </w:numPr>
              <w:snapToGrid w:val="0"/>
              <w:spacing w:after="0" w:line="320" w:lineRule="exact"/>
              <w:jc w:val="lef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要求：能够掌握阶段性的知识点</w:t>
            </w:r>
          </w:p>
        </w:tc>
        <w:tc>
          <w:tcPr>
            <w:tcW w:w="1583" w:type="dxa"/>
            <w:gridSpan w:val="2"/>
            <w:vAlign w:val="center"/>
          </w:tcPr>
          <w:p>
            <w:pPr>
              <w:snapToGrid w:val="0"/>
              <w:spacing w:line="240" w:lineRule="atLeast"/>
              <w:jc w:val="center"/>
              <w:rPr>
                <w:rFonts w:hint="eastAsia" w:eastAsiaTheme="minorEastAsia"/>
                <w:szCs w:val="21"/>
                <w:lang w:eastAsia="zh-CN"/>
              </w:rPr>
            </w:pPr>
            <w:r>
              <w:rPr>
                <w:rFonts w:hint="eastAsia" w:eastAsiaTheme="minorEastAsia"/>
                <w:szCs w:val="21"/>
                <w:lang w:eastAsia="zh-CN"/>
              </w:rPr>
              <w:t>1</w:t>
            </w:r>
            <w:r>
              <w:rPr>
                <w:rFonts w:eastAsiaTheme="minorEastAsia"/>
                <w:szCs w:val="21"/>
                <w:lang w:eastAsia="zh-CN"/>
              </w:rPr>
              <w:t>5</w:t>
            </w:r>
            <w:r>
              <w:rPr>
                <w:rFonts w:hint="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line="240" w:lineRule="atLeast"/>
              <w:jc w:val="center"/>
              <w:rPr>
                <w:rFonts w:ascii="宋体" w:hAnsi="宋体" w:eastAsia="宋体"/>
                <w:sz w:val="21"/>
                <w:szCs w:val="21"/>
              </w:rPr>
            </w:pPr>
            <w:r>
              <w:rPr>
                <w:rFonts w:hint="eastAsia" w:ascii="宋体" w:hAnsi="宋体"/>
                <w:szCs w:val="21"/>
              </w:rPr>
              <w:t>期末考</w:t>
            </w:r>
            <w:r>
              <w:rPr>
                <w:rFonts w:hint="eastAsia" w:ascii="宋体" w:hAnsi="宋体" w:eastAsia="宋体"/>
                <w:szCs w:val="21"/>
                <w:lang w:eastAsia="zh-CN"/>
              </w:rPr>
              <w:t>试</w:t>
            </w:r>
          </w:p>
        </w:tc>
        <w:tc>
          <w:tcPr>
            <w:tcW w:w="5811" w:type="dxa"/>
            <w:gridSpan w:val="6"/>
            <w:vAlign w:val="center"/>
          </w:tcPr>
          <w:p>
            <w:pPr>
              <w:snapToGrid w:val="0"/>
              <w:spacing w:line="240" w:lineRule="atLeast"/>
              <w:ind w:left="518" w:leftChars="86" w:hanging="312" w:hangingChars="130"/>
              <w:rPr>
                <w:rFonts w:ascii="宋体" w:hAnsi="宋体" w:eastAsia="宋体"/>
                <w:sz w:val="21"/>
                <w:szCs w:val="21"/>
                <w:lang w:eastAsia="zh-CN"/>
              </w:rPr>
            </w:pPr>
            <w:r>
              <w:rPr>
                <w:rFonts w:hint="eastAsia" w:eastAsia="宋体"/>
                <w:szCs w:val="21"/>
                <w:lang w:eastAsia="zh-CN"/>
              </w:rPr>
              <w:t>依据试卷评分标准进行评分。</w:t>
            </w:r>
          </w:p>
        </w:tc>
        <w:tc>
          <w:tcPr>
            <w:tcW w:w="1583" w:type="dxa"/>
            <w:gridSpan w:val="2"/>
            <w:vAlign w:val="center"/>
          </w:tcPr>
          <w:p>
            <w:pPr>
              <w:snapToGrid w:val="0"/>
              <w:spacing w:line="240" w:lineRule="atLeast"/>
              <w:jc w:val="center"/>
              <w:rPr>
                <w:rFonts w:ascii="宋体" w:hAnsi="宋体" w:eastAsia="宋体"/>
                <w:sz w:val="21"/>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大纲编写时间：2018.3.2－2018.3.14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4A89A2"/>
    <w:multiLevelType w:val="singleLevel"/>
    <w:tmpl w:val="E44A89A2"/>
    <w:lvl w:ilvl="0" w:tentative="0">
      <w:start w:val="1"/>
      <w:numFmt w:val="decimal"/>
      <w:suff w:val="nothing"/>
      <w:lvlText w:val="%1、"/>
      <w:lvlJc w:val="left"/>
    </w:lvl>
  </w:abstractNum>
  <w:abstractNum w:abstractNumId="1">
    <w:nsid w:val="42A743D5"/>
    <w:multiLevelType w:val="multilevel"/>
    <w:tmpl w:val="42A743D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9B08812"/>
    <w:multiLevelType w:val="singleLevel"/>
    <w:tmpl w:val="79B08812"/>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hideGrammaticalErrors/>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0D47"/>
    <w:rsid w:val="00024352"/>
    <w:rsid w:val="00061F27"/>
    <w:rsid w:val="0006698D"/>
    <w:rsid w:val="00087B74"/>
    <w:rsid w:val="000B626E"/>
    <w:rsid w:val="000C2D4A"/>
    <w:rsid w:val="000D40B1"/>
    <w:rsid w:val="000E0AE8"/>
    <w:rsid w:val="00155E5A"/>
    <w:rsid w:val="00164941"/>
    <w:rsid w:val="00171228"/>
    <w:rsid w:val="001B31E9"/>
    <w:rsid w:val="001D28E8"/>
    <w:rsid w:val="001D7072"/>
    <w:rsid w:val="001F20BC"/>
    <w:rsid w:val="002111AE"/>
    <w:rsid w:val="00227119"/>
    <w:rsid w:val="002B43AE"/>
    <w:rsid w:val="002E27E1"/>
    <w:rsid w:val="003044FA"/>
    <w:rsid w:val="0037561C"/>
    <w:rsid w:val="003C66D8"/>
    <w:rsid w:val="003E66A6"/>
    <w:rsid w:val="00414FC8"/>
    <w:rsid w:val="00457E42"/>
    <w:rsid w:val="00465E23"/>
    <w:rsid w:val="004A3B36"/>
    <w:rsid w:val="004B3994"/>
    <w:rsid w:val="004D29DE"/>
    <w:rsid w:val="004E0481"/>
    <w:rsid w:val="004E7804"/>
    <w:rsid w:val="004F45CC"/>
    <w:rsid w:val="004F5D5C"/>
    <w:rsid w:val="00511AF7"/>
    <w:rsid w:val="005639AB"/>
    <w:rsid w:val="005911D3"/>
    <w:rsid w:val="005C21E5"/>
    <w:rsid w:val="005F174F"/>
    <w:rsid w:val="005F2601"/>
    <w:rsid w:val="0063410F"/>
    <w:rsid w:val="0065651C"/>
    <w:rsid w:val="00656A1A"/>
    <w:rsid w:val="00735FDE"/>
    <w:rsid w:val="00770F0D"/>
    <w:rsid w:val="00776AF2"/>
    <w:rsid w:val="00785779"/>
    <w:rsid w:val="007A154B"/>
    <w:rsid w:val="00802DED"/>
    <w:rsid w:val="008147FF"/>
    <w:rsid w:val="00815F78"/>
    <w:rsid w:val="00824DF3"/>
    <w:rsid w:val="008512DF"/>
    <w:rsid w:val="00855020"/>
    <w:rsid w:val="00877C9F"/>
    <w:rsid w:val="00885EED"/>
    <w:rsid w:val="00892ADC"/>
    <w:rsid w:val="00896971"/>
    <w:rsid w:val="008F26CB"/>
    <w:rsid w:val="008F6642"/>
    <w:rsid w:val="00917C66"/>
    <w:rsid w:val="009349EE"/>
    <w:rsid w:val="009A2B5C"/>
    <w:rsid w:val="009B3EAE"/>
    <w:rsid w:val="009C3354"/>
    <w:rsid w:val="009D3079"/>
    <w:rsid w:val="00A64103"/>
    <w:rsid w:val="00A84D68"/>
    <w:rsid w:val="00A85774"/>
    <w:rsid w:val="00AA199F"/>
    <w:rsid w:val="00AB00C2"/>
    <w:rsid w:val="00AE48DD"/>
    <w:rsid w:val="00BB35F5"/>
    <w:rsid w:val="00C41D05"/>
    <w:rsid w:val="00C705DD"/>
    <w:rsid w:val="00C76FA2"/>
    <w:rsid w:val="00CA1AB8"/>
    <w:rsid w:val="00CC31E0"/>
    <w:rsid w:val="00CC4A46"/>
    <w:rsid w:val="00CD2F8F"/>
    <w:rsid w:val="00D22401"/>
    <w:rsid w:val="00D45246"/>
    <w:rsid w:val="00D62B41"/>
    <w:rsid w:val="00DB45CF"/>
    <w:rsid w:val="00DB5724"/>
    <w:rsid w:val="00DF5C03"/>
    <w:rsid w:val="00E0505F"/>
    <w:rsid w:val="00E413E8"/>
    <w:rsid w:val="00E53E23"/>
    <w:rsid w:val="00E6658C"/>
    <w:rsid w:val="00EC2295"/>
    <w:rsid w:val="00ED3FCA"/>
    <w:rsid w:val="00EF46B2"/>
    <w:rsid w:val="00F03E8D"/>
    <w:rsid w:val="00F31667"/>
    <w:rsid w:val="00F617C2"/>
    <w:rsid w:val="00F64405"/>
    <w:rsid w:val="00F96D96"/>
    <w:rsid w:val="00FC2458"/>
    <w:rsid w:val="00FE22C8"/>
    <w:rsid w:val="0E567869"/>
    <w:rsid w:val="1128154E"/>
    <w:rsid w:val="18EA356E"/>
    <w:rsid w:val="1CEA3FE8"/>
    <w:rsid w:val="1ECD082E"/>
    <w:rsid w:val="1F8F6D3D"/>
    <w:rsid w:val="219A5A7C"/>
    <w:rsid w:val="27744E87"/>
    <w:rsid w:val="28180BA2"/>
    <w:rsid w:val="28AD1D92"/>
    <w:rsid w:val="2C23799B"/>
    <w:rsid w:val="3D33736D"/>
    <w:rsid w:val="452C2454"/>
    <w:rsid w:val="473607F9"/>
    <w:rsid w:val="56FC2ED0"/>
    <w:rsid w:val="5BE43E4B"/>
    <w:rsid w:val="5C2148A7"/>
    <w:rsid w:val="62602DFF"/>
    <w:rsid w:val="64F175AD"/>
    <w:rsid w:val="68F9123C"/>
    <w:rsid w:val="6BA34252"/>
    <w:rsid w:val="768A7CA9"/>
    <w:rsid w:val="79B03F45"/>
    <w:rsid w:val="7D572A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qFormat/>
    <w:uiPriority w:val="0"/>
    <w:pPr>
      <w:spacing w:beforeAutospacing="1" w:after="0" w:afterAutospacing="1"/>
      <w:jc w:val="left"/>
      <w:outlineLvl w:val="0"/>
    </w:pPr>
    <w:rPr>
      <w:rFonts w:hint="eastAsia" w:ascii="宋体" w:hAnsi="宋体" w:eastAsia="宋体"/>
      <w:b/>
      <w:kern w:val="44"/>
      <w:sz w:val="48"/>
      <w:szCs w:val="48"/>
      <w:lang w:eastAsia="zh-CN"/>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字符"/>
    <w:basedOn w:val="6"/>
    <w:link w:val="5"/>
    <w:qFormat/>
    <w:uiPriority w:val="0"/>
    <w:rPr>
      <w:rFonts w:eastAsia="PMingLiU"/>
      <w:sz w:val="18"/>
      <w:szCs w:val="18"/>
      <w:lang w:eastAsia="en-US"/>
    </w:rPr>
  </w:style>
  <w:style w:type="character" w:customStyle="1" w:styleId="12">
    <w:name w:val="页脚 字符"/>
    <w:basedOn w:val="6"/>
    <w:link w:val="4"/>
    <w:qFormat/>
    <w:uiPriority w:val="0"/>
    <w:rPr>
      <w:rFonts w:eastAsia="PMingLiU"/>
      <w:sz w:val="18"/>
      <w:szCs w:val="18"/>
      <w:lang w:eastAsia="en-US"/>
    </w:rPr>
  </w:style>
  <w:style w:type="paragraph" w:styleId="13">
    <w:name w:val="List Paragraph"/>
    <w:basedOn w:val="1"/>
    <w:unhideWhenUsed/>
    <w:qFormat/>
    <w:uiPriority w:val="34"/>
    <w:pPr>
      <w:ind w:firstLine="420" w:firstLineChars="200"/>
    </w:pPr>
  </w:style>
  <w:style w:type="character" w:customStyle="1" w:styleId="14">
    <w:name w:val="批注框文本 字符"/>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D12BD-3179-45DF-9CFC-2AB1646BC15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700</Words>
  <Characters>3991</Characters>
  <Lines>33</Lines>
  <Paragraphs>9</Paragraphs>
  <TotalTime>0</TotalTime>
  <ScaleCrop>false</ScaleCrop>
  <LinksUpToDate>false</LinksUpToDate>
  <CharactersWithSpaces>4682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2018-03-19T08:30:00Z</dcterms:created>
  <dc:creator>lenovo</dc:creator>
  <cp:lastModifiedBy>Administrator</cp:lastModifiedBy>
  <cp:lastPrinted>2017-01-05T16:24:00Z</cp:lastPrinted>
  <dcterms:modified xsi:type="dcterms:W3CDTF">2018-04-20T01:29:41Z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